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A0A" w:rsidRPr="00097236" w:rsidRDefault="007B6A0A" w:rsidP="00D46A14">
      <w:pPr>
        <w:rPr>
          <w:b/>
          <w:bCs/>
          <w:sz w:val="28"/>
          <w:szCs w:val="28"/>
        </w:rPr>
      </w:pPr>
      <w:r w:rsidRPr="00097236">
        <w:rPr>
          <w:b/>
          <w:bCs/>
          <w:sz w:val="28"/>
          <w:szCs w:val="28"/>
        </w:rPr>
        <w:t>Des espoirs de reprise douchés par les craintes d’une seconde vague épidémique</w:t>
      </w:r>
    </w:p>
    <w:p w:rsidR="007B6A0A" w:rsidRPr="00097236" w:rsidRDefault="007B6A0A" w:rsidP="00D46A14">
      <w:pPr>
        <w:rPr>
          <w:b/>
          <w:bCs/>
        </w:rPr>
      </w:pPr>
      <w:r w:rsidRPr="00097236">
        <w:rPr>
          <w:b/>
          <w:bCs/>
        </w:rPr>
        <w:t>La hausse des actifs risqués, entamée peu avant la fin du mois de mars, s’est poursuivie tout au long de l’été, grâce aux espoirs véhiculés, tant par l’amélioration sanitaire mondiale, que par une normalisation économique progressive et le soutien indéfectible des autorités monétaires et gouvernementales.</w:t>
      </w:r>
    </w:p>
    <w:p w:rsidR="007B6A0A" w:rsidRDefault="007B6A0A" w:rsidP="007B6A0A">
      <w:r>
        <w:t>En ce qui concerne les actions, les États-Unis ont mené le mouvement, aidés par les poids lourds du secteur technologique. Dans un climat résolument optimiste, la quasi-totalité des actifs se sont appréciés, y compris l’or ou les emprunts d’États, pourtant considérés comme des actifs refuges.</w:t>
      </w:r>
    </w:p>
    <w:p w:rsidR="007B6A0A" w:rsidRDefault="007B6A0A" w:rsidP="007B6A0A">
      <w:r>
        <w:t xml:space="preserve">Début septembre, les craintes d’un retour de la pandémie ont finalement eu raison de cette dynamique et provoqué une correction qui a presque effacé les gains du début de trimestre. </w:t>
      </w:r>
    </w:p>
    <w:p w:rsidR="007B6A0A" w:rsidRDefault="007B6A0A" w:rsidP="007B6A0A">
      <w:r>
        <w:t>Après l’effondrement du premier trimestre, consécutif à un confinement de plus de la moitié de la population mondiale et à une chute globale du commerce et de l’activité, l’économie a logiquement rebondi, parfois plus fortement qu’attendu, néanmoins les</w:t>
      </w:r>
      <w:r w:rsidRPr="007B6A0A">
        <w:t xml:space="preserve"> indicateurs commencent à se tasser.</w:t>
      </w:r>
    </w:p>
    <w:p w:rsidR="00097236" w:rsidRDefault="00097236" w:rsidP="00097236">
      <w:r>
        <w:t>C</w:t>
      </w:r>
      <w:r w:rsidR="007B6A0A">
        <w:t>ette perte de vitesse n’est pas anormale mais suscite une inquiétude qui trouve son origine à la fois dans la résurgence de la pandémie, mais aussi dans le fait que les plans de relance</w:t>
      </w:r>
      <w:r>
        <w:t xml:space="preserve"> </w:t>
      </w:r>
      <w:r w:rsidR="007B6A0A">
        <w:t>mettent du temps à émerger</w:t>
      </w:r>
      <w:r>
        <w:t>, alors que d</w:t>
      </w:r>
      <w:r w:rsidR="007B6A0A">
        <w:t>eux autres évènements renforcent la méfiance des investisseurs</w:t>
      </w:r>
      <w:r>
        <w:t xml:space="preserve"> </w:t>
      </w:r>
      <w:r w:rsidR="007B6A0A">
        <w:t>: les élections américaines et le “Brexit</w:t>
      </w:r>
      <w:r w:rsidRPr="00097236">
        <w:t>”</w:t>
      </w:r>
      <w:r>
        <w:t>.</w:t>
      </w:r>
    </w:p>
    <w:p w:rsidR="00097236" w:rsidRDefault="00097236" w:rsidP="00097236">
      <w:r>
        <w:t xml:space="preserve">Dans ce contexte, les autorités monétaires exhortent les gouvernements d’en faire davantage pour stabiliser et dynamiser la croissance. Le Fonds Monétaire Internationale incite les pays à laisser filer leur déficit pour soutenir la demande, tandis que les principales banques centrales ont réitéré leur engagement à soutenir le redémarrage de l’activité. </w:t>
      </w:r>
    </w:p>
    <w:p w:rsidR="00097236" w:rsidRPr="00173B92" w:rsidRDefault="00B67AB6" w:rsidP="00097236">
      <w:r>
        <w:t>Dans ce contexte, l</w:t>
      </w:r>
      <w:r w:rsidR="00097236">
        <w:t>es niveaux de volatilité seront importants au sein des marchés d’ici à la fin de l’année et nous sommes persuadés que de nombreuses opportunités d’investissement ou d’arbitrage se présenteront.</w:t>
      </w:r>
      <w:bookmarkStart w:id="0" w:name="_GoBack"/>
      <w:bookmarkEnd w:id="0"/>
    </w:p>
    <w:p w:rsidR="007B6A0A" w:rsidRPr="00173B92" w:rsidRDefault="007B6A0A" w:rsidP="007B6A0A"/>
    <w:sectPr w:rsidR="007B6A0A" w:rsidRPr="00173B9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4B1" w:rsidRDefault="000E04B1" w:rsidP="00097236">
      <w:pPr>
        <w:spacing w:after="0" w:line="240" w:lineRule="auto"/>
      </w:pPr>
      <w:r>
        <w:separator/>
      </w:r>
    </w:p>
  </w:endnote>
  <w:endnote w:type="continuationSeparator" w:id="0">
    <w:p w:rsidR="000E04B1" w:rsidRDefault="000E04B1" w:rsidP="0009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B6" w:rsidRDefault="00B67A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236" w:rsidRDefault="00097236">
    <w:pPr>
      <w:pStyle w:val="Pieddepage"/>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10134600</wp:posOffset>
              </wp:positionV>
              <wp:extent cx="7560310" cy="252095"/>
              <wp:effectExtent l="0" t="0" r="0" b="14605"/>
              <wp:wrapNone/>
              <wp:docPr id="2" name="MSIPCMcded4d0ba08e0350ca60e0f5" descr="{&quot;HashCode&quot;:-13782641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97236" w:rsidRPr="00097236" w:rsidRDefault="00097236" w:rsidP="00097236">
                          <w:pPr>
                            <w:spacing w:after="0"/>
                            <w:jc w:val="center"/>
                            <w:rPr>
                              <w:rFonts w:ascii="Arial" w:hAnsi="Arial" w:cs="Arial"/>
                              <w:color w:val="7C7C80"/>
                              <w:sz w:val="18"/>
                            </w:rPr>
                          </w:pPr>
                          <w:r w:rsidRPr="00097236">
                            <w:rPr>
                              <w:rFonts w:ascii="Arial" w:hAnsi="Arial" w:cs="Arial"/>
                              <w:color w:val="7C7C80"/>
                              <w:sz w:val="18"/>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ded4d0ba08e0350ca60e0f5" o:spid="_x0000_s1026" type="#_x0000_t202" alt="{&quot;HashCode&quot;:-1378264110,&quot;Height&quot;:841.0,&quot;Width&quot;:595.0,&quot;Placement&quot;:&quot;Footer&quot;,&quot;Index&quot;:&quot;Primary&quot;,&quot;Section&quot;:1,&quot;Top&quot;:0.0,&quot;Left&quot;:0.0}" style="position:absolute;margin-left:0;margin-top:798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" o:allowincell="f" filled="f" stroked="f" strokeweight=".5pt">
              <v:fill o:detectmouseclick="t"/>
              <v:textbox inset=",0,,0">
                <w:txbxContent>
                  <w:p w:rsidR="00097236" w:rsidRPr="00097236" w:rsidRDefault="00097236" w:rsidP="00097236">
                    <w:pPr>
                      <w:spacing w:after="0"/>
                      <w:jc w:val="center"/>
                      <w:rPr>
                        <w:rFonts w:ascii="Arial" w:hAnsi="Arial" w:cs="Arial"/>
                        <w:color w:val="7C7C80"/>
                        <w:sz w:val="18"/>
                      </w:rPr>
                    </w:pPr>
                    <w:r w:rsidRPr="00097236">
                      <w:rPr>
                        <w:rFonts w:ascii="Arial" w:hAnsi="Arial" w:cs="Arial"/>
                        <w:color w:val="7C7C80"/>
                        <w:sz w:val="18"/>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B6" w:rsidRDefault="00B67A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4B1" w:rsidRDefault="000E04B1" w:rsidP="00097236">
      <w:pPr>
        <w:spacing w:after="0" w:line="240" w:lineRule="auto"/>
      </w:pPr>
      <w:r>
        <w:separator/>
      </w:r>
    </w:p>
  </w:footnote>
  <w:footnote w:type="continuationSeparator" w:id="0">
    <w:p w:rsidR="000E04B1" w:rsidRDefault="000E04B1" w:rsidP="00097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B6" w:rsidRDefault="00B67A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B6" w:rsidRDefault="00B67A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B6" w:rsidRDefault="00B67AB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92"/>
    <w:rsid w:val="00097236"/>
    <w:rsid w:val="000E04B1"/>
    <w:rsid w:val="00173B92"/>
    <w:rsid w:val="007B6A0A"/>
    <w:rsid w:val="008973A3"/>
    <w:rsid w:val="00B67AB6"/>
    <w:rsid w:val="00D46A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7D24"/>
  <w15:chartTrackingRefBased/>
  <w15:docId w15:val="{B13304DD-82D5-4694-9BEC-8D48FDEC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7236"/>
    <w:pPr>
      <w:tabs>
        <w:tab w:val="center" w:pos="4536"/>
        <w:tab w:val="right" w:pos="9072"/>
      </w:tabs>
      <w:spacing w:after="0" w:line="240" w:lineRule="auto"/>
    </w:pPr>
  </w:style>
  <w:style w:type="character" w:customStyle="1" w:styleId="En-tteCar">
    <w:name w:val="En-tête Car"/>
    <w:basedOn w:val="Policepardfaut"/>
    <w:link w:val="En-tte"/>
    <w:uiPriority w:val="99"/>
    <w:rsid w:val="00097236"/>
  </w:style>
  <w:style w:type="paragraph" w:styleId="Pieddepage">
    <w:name w:val="footer"/>
    <w:basedOn w:val="Normal"/>
    <w:link w:val="PieddepageCar"/>
    <w:uiPriority w:val="99"/>
    <w:unhideWhenUsed/>
    <w:rsid w:val="000972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1740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Berlese, Erwan</dc:creator>
  <cp:keywords/>
  <dc:description/>
  <cp:lastModifiedBy>Berlese, Erwan</cp:lastModifiedBy>
  <cp:revision>3</cp:revision>
  <dcterms:created xsi:type="dcterms:W3CDTF">2020-11-09T14:33:00Z</dcterms:created>
  <dcterms:modified xsi:type="dcterms:W3CDTF">2020-11-09T15:15:00Z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6e186d-8807-44bb-beec-30ed51960fb6_Enabled">
    <vt:lpwstr>true</vt:lpwstr>
  </property>
  <property fmtid="{D5CDD505-2E9C-101B-9397-08002B2CF9AE}" pid="3" name="MSIP_Label_706e186d-8807-44bb-beec-30ed51960fb6_SetDate">
    <vt:lpwstr>2020-11-09T15:15:36Z</vt:lpwstr>
  </property>
  <property fmtid="{D5CDD505-2E9C-101B-9397-08002B2CF9AE}" pid="4" name="MSIP_Label_706e186d-8807-44bb-beec-30ed51960fb6_Method">
    <vt:lpwstr>Privileged</vt:lpwstr>
  </property>
  <property fmtid="{D5CDD505-2E9C-101B-9397-08002B2CF9AE}" pid="5" name="MSIP_Label_706e186d-8807-44bb-beec-30ed51960fb6_Name">
    <vt:lpwstr>RAndCoPublicMarked</vt:lpwstr>
  </property>
  <property fmtid="{D5CDD505-2E9C-101B-9397-08002B2CF9AE}" pid="6" name="MSIP_Label_706e186d-8807-44bb-beec-30ed51960fb6_SiteId">
    <vt:lpwstr>a3a61790-e8ca-448a-b1be-e046da74a581</vt:lpwstr>
  </property>
  <property fmtid="{D5CDD505-2E9C-101B-9397-08002B2CF9AE}" pid="7" name="MSIP_Label_706e186d-8807-44bb-beec-30ed51960fb6_ActionId">
    <vt:lpwstr>cce217ea-0fa4-487b-9c3d-7645237e86dd</vt:lpwstr>
  </property>
  <property fmtid="{D5CDD505-2E9C-101B-9397-08002B2CF9AE}" pid="8" name="MSIP_Label_706e186d-8807-44bb-beec-30ed51960fb6_ContentBits">
    <vt:lpwstr>2</vt:lpwstr>
  </property>
  <property fmtid="{D5CDD505-2E9C-101B-9397-08002B2CF9AE}" pid="9" name="RTHDocumentSensitivity">
    <vt:lpwstr>Public</vt:lpwstr>
  </property>
  <property fmtid="{D5CDD505-2E9C-101B-9397-08002B2CF9AE}" pid="10" name="RTHDocumentSensitivityFR">
    <vt:lpwstr>Public</vt:lpwstr>
  </property>
</Properties>
</file>